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453A" w14:textId="77777777" w:rsidR="006F5750" w:rsidRPr="00054CA6" w:rsidRDefault="006F5750" w:rsidP="006F5750">
      <w:pPr>
        <w:pStyle w:val="Otsikko1"/>
      </w:pPr>
      <w:bookmarkStart w:id="0" w:name="_Toc463006001"/>
      <w:r w:rsidRPr="00054CA6">
        <w:t>AGRI MARKET TASK FORCE</w:t>
      </w:r>
      <w:r w:rsidR="00861098" w:rsidRPr="00054CA6">
        <w:t xml:space="preserve"> (AMTF)</w:t>
      </w:r>
      <w:r w:rsidRPr="00054CA6">
        <w:t xml:space="preserve"> ELI VEERMANIN RAPORTTI</w:t>
      </w:r>
      <w:bookmarkEnd w:id="0"/>
    </w:p>
    <w:p w14:paraId="2ADB7912" w14:textId="77777777" w:rsidR="006F5750" w:rsidRPr="00054CA6" w:rsidRDefault="006F5750" w:rsidP="006F5750"/>
    <w:p w14:paraId="40C06774" w14:textId="77777777" w:rsidR="00FB5760" w:rsidRPr="00054CA6" w:rsidRDefault="00FB5760" w:rsidP="00FB5760">
      <w:pPr>
        <w:spacing w:line="240" w:lineRule="auto"/>
      </w:pPr>
      <w:r w:rsidRPr="00054CA6">
        <w:t xml:space="preserve">Komissaari </w:t>
      </w:r>
      <w:proofErr w:type="spellStart"/>
      <w:r w:rsidRPr="00054CA6">
        <w:t>Hogan</w:t>
      </w:r>
      <w:proofErr w:type="spellEnd"/>
      <w:r w:rsidRPr="00054CA6">
        <w:t xml:space="preserve"> asetti </w:t>
      </w:r>
      <w:r>
        <w:t xml:space="preserve">vuoden 2016 alussa </w:t>
      </w:r>
      <w:r w:rsidRPr="00054CA6">
        <w:t xml:space="preserve">erillisen maatalousmarkkinoita käsittelevän työryhmän valmistelemaan nopealla aikataululla ehdotuksia maatalousmarkkinoiden kriittisimpien ongelmakohtien ratkaisemiseksi. Vaikka pääpaino oli markkinoissa, raporttiin liittyy laaja toimenpidesuositusten rypäs. </w:t>
      </w:r>
      <w:r>
        <w:t>T</w:t>
      </w:r>
      <w:r w:rsidRPr="00054CA6">
        <w:t xml:space="preserve">yöryhmän puheenjohtajaksi </w:t>
      </w:r>
      <w:proofErr w:type="spellStart"/>
      <w:r>
        <w:t>Hogan</w:t>
      </w:r>
      <w:proofErr w:type="spellEnd"/>
      <w:r>
        <w:t xml:space="preserve"> nimesi </w:t>
      </w:r>
      <w:r w:rsidRPr="00054CA6">
        <w:t>Hollannin entisen</w:t>
      </w:r>
      <w:bookmarkStart w:id="1" w:name="_GoBack"/>
      <w:bookmarkEnd w:id="1"/>
      <w:r w:rsidRPr="00054CA6">
        <w:t xml:space="preserve"> maatalousministerin </w:t>
      </w:r>
      <w:proofErr w:type="spellStart"/>
      <w:r w:rsidRPr="00054CA6">
        <w:t>Cees</w:t>
      </w:r>
      <w:proofErr w:type="spellEnd"/>
      <w:r w:rsidRPr="00054CA6">
        <w:t xml:space="preserve"> </w:t>
      </w:r>
      <w:proofErr w:type="spellStart"/>
      <w:r w:rsidRPr="00054CA6">
        <w:t>Veermanin</w:t>
      </w:r>
      <w:proofErr w:type="spellEnd"/>
      <w:r w:rsidRPr="00054CA6">
        <w:t xml:space="preserve">. Ryhmä jätti raporttinsa komisaarille 14.11.2016. Raportti on esitelty maatalousneuvostolle ja parlamentille. Joulukuun maatalousneuvostosta on tehty lyhyet puheenjohtajan päätelmät. </w:t>
      </w:r>
      <w:proofErr w:type="spellStart"/>
      <w:r w:rsidRPr="00054CA6">
        <w:t>Veermanin</w:t>
      </w:r>
      <w:proofErr w:type="spellEnd"/>
      <w:r w:rsidRPr="00054CA6">
        <w:t xml:space="preserve"> raportti kytkeytyy selkeästi tulevaan maatalousuudistukseen ja on jatkoa komission esittämälle monivuotisen rahoituskehyksen välitarkastelun yhteydessä annettua lainsäädännön korjauspakettia (</w:t>
      </w:r>
      <w:proofErr w:type="spellStart"/>
      <w:r w:rsidRPr="00054CA6">
        <w:t>Omnibus</w:t>
      </w:r>
      <w:proofErr w:type="spellEnd"/>
      <w:r w:rsidRPr="00054CA6">
        <w:t xml:space="preserve">-esitys).     </w:t>
      </w:r>
    </w:p>
    <w:p w14:paraId="304DA4A8" w14:textId="77777777" w:rsidR="00FB5760" w:rsidRPr="00054CA6" w:rsidRDefault="00FB5760" w:rsidP="00FB5760">
      <w:pPr>
        <w:spacing w:line="240" w:lineRule="auto"/>
      </w:pPr>
    </w:p>
    <w:p w14:paraId="2DB2A0DE" w14:textId="77777777" w:rsidR="00FB5760" w:rsidRPr="000977CC" w:rsidRDefault="00FB5760" w:rsidP="00FB5760">
      <w:pPr>
        <w:spacing w:line="240" w:lineRule="auto"/>
        <w:rPr>
          <w:b/>
          <w:bCs/>
        </w:rPr>
      </w:pPr>
      <w:r w:rsidRPr="000977CC">
        <w:rPr>
          <w:b/>
          <w:bCs/>
        </w:rPr>
        <w:t>Esityksen pääsisältö</w:t>
      </w:r>
    </w:p>
    <w:p w14:paraId="38D22457" w14:textId="77777777" w:rsidR="00FB5760" w:rsidRPr="00054CA6" w:rsidRDefault="00FB5760" w:rsidP="00FB5760">
      <w:pPr>
        <w:spacing w:line="240" w:lineRule="auto"/>
        <w:rPr>
          <w:b/>
        </w:rPr>
      </w:pPr>
    </w:p>
    <w:p w14:paraId="70C8E037" w14:textId="77777777" w:rsidR="00FB5760" w:rsidRPr="00054CA6" w:rsidRDefault="00FB5760" w:rsidP="00FB5760">
      <w:pPr>
        <w:spacing w:line="240" w:lineRule="auto"/>
      </w:pPr>
      <w:r w:rsidRPr="00054CA6">
        <w:t>Esitys jakautuu seitsemään osioon, joista tunnetuin on maatalousmarkkinoiden toimivuuden parantamiseen liittyvät kohdat (EU-tason ruokaketjulainsäädäntö).</w:t>
      </w:r>
    </w:p>
    <w:p w14:paraId="654E8A2D" w14:textId="77777777" w:rsidR="00FB5760" w:rsidRPr="00054CA6" w:rsidRDefault="00FB5760" w:rsidP="00FB5760">
      <w:pPr>
        <w:spacing w:line="240" w:lineRule="auto"/>
      </w:pPr>
    </w:p>
    <w:p w14:paraId="1117C547" w14:textId="77777777" w:rsidR="00FB5760" w:rsidRPr="000977CC" w:rsidRDefault="00FB5760" w:rsidP="00FB5760">
      <w:pPr>
        <w:spacing w:line="240" w:lineRule="auto"/>
        <w:rPr>
          <w:b/>
          <w:bCs/>
        </w:rPr>
      </w:pPr>
      <w:r w:rsidRPr="000977CC">
        <w:rPr>
          <w:b/>
          <w:bCs/>
        </w:rPr>
        <w:t>Markkinoiden läpinäkyvyys</w:t>
      </w:r>
    </w:p>
    <w:p w14:paraId="57F801F8" w14:textId="77777777" w:rsidR="00FB5760" w:rsidRPr="000977CC" w:rsidRDefault="00FB5760" w:rsidP="00FB5760">
      <w:pPr>
        <w:pStyle w:val="Luettelokappale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Pakollinen hintaraportointi; liha, hevi ja maito</w:t>
      </w:r>
    </w:p>
    <w:p w14:paraId="60706461" w14:textId="77777777" w:rsidR="00FB5760" w:rsidRPr="000977CC" w:rsidRDefault="00FB5760" w:rsidP="00FB5760">
      <w:pPr>
        <w:pStyle w:val="Luettelokappale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Food Euro –laskelmat EU-tason pääruokatuotteista</w:t>
      </w:r>
    </w:p>
    <w:p w14:paraId="52C7BC8C" w14:textId="77777777" w:rsidR="00FB5760" w:rsidRPr="000977CC" w:rsidRDefault="00FB5760" w:rsidP="00FB5760">
      <w:pPr>
        <w:pStyle w:val="Luettelokappale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Määritelmien ja standardien tarkastus</w:t>
      </w:r>
    </w:p>
    <w:p w14:paraId="5399227F" w14:textId="77777777" w:rsidR="00FB5760" w:rsidRPr="000977CC" w:rsidRDefault="00FB5760" w:rsidP="00FB5760">
      <w:pPr>
        <w:pStyle w:val="Luettelokappale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Foorumi hintatiedon ja ruokaketjutarkkailulle</w:t>
      </w:r>
    </w:p>
    <w:p w14:paraId="34CD4199" w14:textId="77777777" w:rsidR="00FB5760" w:rsidRPr="000977CC" w:rsidRDefault="00FB5760" w:rsidP="00FB5760">
      <w:pPr>
        <w:pStyle w:val="Luettelokappale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Tiedonkeruun modernisointi</w:t>
      </w:r>
    </w:p>
    <w:p w14:paraId="415A4DCB" w14:textId="77777777" w:rsidR="00FB5760" w:rsidRPr="000977CC" w:rsidRDefault="00FB5760" w:rsidP="00FB5760">
      <w:pPr>
        <w:pStyle w:val="Luettelokappale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Markkinatiedon jako netissä käyttäjäystävällisessä muodossa</w:t>
      </w:r>
    </w:p>
    <w:p w14:paraId="40673BF7" w14:textId="77777777" w:rsidR="00FB5760" w:rsidRPr="000977CC" w:rsidRDefault="00FB5760" w:rsidP="00FB5760">
      <w:pPr>
        <w:pStyle w:val="Luettelokappale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Kulutus- ja tuotantopanostieto viljelijöille</w:t>
      </w:r>
    </w:p>
    <w:p w14:paraId="537436B1" w14:textId="77777777" w:rsidR="00FB5760" w:rsidRPr="000977CC" w:rsidRDefault="00FB5760" w:rsidP="00FB5760">
      <w:pPr>
        <w:pStyle w:val="Luettelokappale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Kaupallisesti tärkeän datan saatavuus</w:t>
      </w:r>
    </w:p>
    <w:p w14:paraId="2C62F47A" w14:textId="77777777" w:rsidR="00FB5760" w:rsidRPr="00054CA6" w:rsidRDefault="00FB5760" w:rsidP="00FB5760">
      <w:pPr>
        <w:spacing w:line="240" w:lineRule="auto"/>
      </w:pPr>
    </w:p>
    <w:p w14:paraId="6B49AD6E" w14:textId="77777777" w:rsidR="00FB5760" w:rsidRPr="000977CC" w:rsidRDefault="00FB5760" w:rsidP="00FB5760">
      <w:pPr>
        <w:spacing w:line="240" w:lineRule="auto"/>
        <w:rPr>
          <w:b/>
          <w:bCs/>
        </w:rPr>
      </w:pPr>
      <w:r w:rsidRPr="000977CC">
        <w:rPr>
          <w:b/>
          <w:bCs/>
        </w:rPr>
        <w:t>Riskienhallinta</w:t>
      </w:r>
    </w:p>
    <w:p w14:paraId="048F4F3F" w14:textId="77777777" w:rsidR="00FB5760" w:rsidRPr="000977CC" w:rsidRDefault="00FB5760" w:rsidP="00FB5760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Koulutus, neuvonta ja tiedonvaihto</w:t>
      </w:r>
    </w:p>
    <w:p w14:paraId="08DFE826" w14:textId="77777777" w:rsidR="00FB5760" w:rsidRPr="000977CC" w:rsidRDefault="00FB5760" w:rsidP="00FB5760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 xml:space="preserve">Pakollinen riskienhallinnan välineidentarjonta viljelijöille maaseutuohjelmissa  </w:t>
      </w:r>
    </w:p>
    <w:p w14:paraId="10D9BF7E" w14:textId="77777777" w:rsidR="00FB5760" w:rsidRPr="000977CC" w:rsidRDefault="00FB5760" w:rsidP="00FB5760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Parhaiden käytäntöjen jako yhteistyöfoorumilla</w:t>
      </w:r>
    </w:p>
    <w:p w14:paraId="0C93F568" w14:textId="77777777" w:rsidR="00FB5760" w:rsidRPr="000977CC" w:rsidRDefault="00FB5760" w:rsidP="00FB5760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Mallit ja pohjat menetysten laskemiselle</w:t>
      </w:r>
    </w:p>
    <w:p w14:paraId="233A45D7" w14:textId="77777777" w:rsidR="00FB5760" w:rsidRPr="000977CC" w:rsidRDefault="00FB5760" w:rsidP="00FB5760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Satovahinkovakuutusten tekeminen houkuttelevammaksi</w:t>
      </w:r>
    </w:p>
    <w:p w14:paraId="0D95FF48" w14:textId="77777777" w:rsidR="00FB5760" w:rsidRPr="000977CC" w:rsidRDefault="00FB5760" w:rsidP="00FB5760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EU-osarahoitus jälleenvakuuttamiseen</w:t>
      </w:r>
    </w:p>
    <w:p w14:paraId="4E6F2D25" w14:textId="77777777" w:rsidR="00FB5760" w:rsidRPr="000977CC" w:rsidRDefault="00FB5760" w:rsidP="00FB5760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Seuranta- ja arviointijärjestelmä riskien todennäköisyydelle, satovaihteluille ja tautien esiintymiselle jne.</w:t>
      </w:r>
    </w:p>
    <w:p w14:paraId="1A23C2EE" w14:textId="77777777" w:rsidR="00FB5760" w:rsidRPr="000977CC" w:rsidRDefault="00FB5760" w:rsidP="00FB5760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Tulontasaus verotuksessa ja rahoitusvälinekannusteet</w:t>
      </w:r>
    </w:p>
    <w:p w14:paraId="68F9D9CF" w14:textId="77777777" w:rsidR="00FB5760" w:rsidRPr="000977CC" w:rsidRDefault="00FB5760" w:rsidP="00FB5760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Riskienhallinnan III pilari osaksi yhteistä maatalouspolitiikkaa</w:t>
      </w:r>
    </w:p>
    <w:p w14:paraId="5425C0A0" w14:textId="77777777" w:rsidR="00FB5760" w:rsidRPr="000977CC" w:rsidRDefault="00FB5760" w:rsidP="00FB5760">
      <w:pPr>
        <w:pStyle w:val="Luettelokappale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Kansallinen jousto välinevalinnassa</w:t>
      </w:r>
    </w:p>
    <w:p w14:paraId="475B9F94" w14:textId="77777777" w:rsidR="00FB5760" w:rsidRPr="00054CA6" w:rsidRDefault="00FB5760" w:rsidP="00FB5760">
      <w:pPr>
        <w:spacing w:line="240" w:lineRule="auto"/>
      </w:pPr>
    </w:p>
    <w:p w14:paraId="2105C85C" w14:textId="77777777" w:rsidR="00FB5760" w:rsidRPr="000977CC" w:rsidRDefault="00FB5760" w:rsidP="00FB5760">
      <w:pPr>
        <w:spacing w:line="240" w:lineRule="auto"/>
        <w:rPr>
          <w:b/>
          <w:bCs/>
        </w:rPr>
      </w:pPr>
      <w:r w:rsidRPr="000977CC">
        <w:rPr>
          <w:b/>
          <w:bCs/>
        </w:rPr>
        <w:t>Futuurit ja markkinajohdannaiset</w:t>
      </w:r>
    </w:p>
    <w:p w14:paraId="75E431DB" w14:textId="77777777" w:rsidR="00FB5760" w:rsidRPr="000977CC" w:rsidRDefault="00FB5760" w:rsidP="00FB5760">
      <w:pPr>
        <w:pStyle w:val="Luettelokappale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Jäsenmaiden tarjontakannusteet osana maaseudun kehittämistä (RD)</w:t>
      </w:r>
    </w:p>
    <w:p w14:paraId="4E59A6DA" w14:textId="77777777" w:rsidR="00FB5760" w:rsidRPr="000977CC" w:rsidRDefault="00FB5760" w:rsidP="00FB5760">
      <w:pPr>
        <w:pStyle w:val="Luettelokappale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Toimintakulttuurin muutos tarjonnassa</w:t>
      </w:r>
    </w:p>
    <w:p w14:paraId="6062E29E" w14:textId="77777777" w:rsidR="00FB5760" w:rsidRPr="000977CC" w:rsidRDefault="00FB5760" w:rsidP="00FB5760">
      <w:pPr>
        <w:pStyle w:val="Luettelokappale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Tekninen neuvonta</w:t>
      </w:r>
    </w:p>
    <w:p w14:paraId="4C9CB70B" w14:textId="77777777" w:rsidR="00FB5760" w:rsidRPr="000977CC" w:rsidRDefault="00FB5760" w:rsidP="00FB5760">
      <w:pPr>
        <w:pStyle w:val="Luettelokappale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Tuki aikaisin käynnistyville futuurimarkkinoille</w:t>
      </w:r>
    </w:p>
    <w:p w14:paraId="3326ED33" w14:textId="77777777" w:rsidR="00FB5760" w:rsidRPr="000977CC" w:rsidRDefault="00FB5760" w:rsidP="00FB5760">
      <w:pPr>
        <w:pStyle w:val="Luettelokappale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Talletus ja takuurahastot futuurimarkkinoille pääsyyn</w:t>
      </w:r>
    </w:p>
    <w:p w14:paraId="77668CF3" w14:textId="77777777" w:rsidR="00FB5760" w:rsidRPr="000977CC" w:rsidRDefault="00FB5760" w:rsidP="00FB5760">
      <w:pPr>
        <w:pStyle w:val="Luettelokappale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Hintaseurantajärjestelmien toimivuus</w:t>
      </w:r>
    </w:p>
    <w:p w14:paraId="343A34CC" w14:textId="77777777" w:rsidR="00FB5760" w:rsidRPr="000977CC" w:rsidRDefault="00FB5760" w:rsidP="00FB5760">
      <w:pPr>
        <w:pStyle w:val="Luettelokappale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Laatumääritykset futuurituotteille</w:t>
      </w:r>
    </w:p>
    <w:p w14:paraId="38084CF4" w14:textId="77777777" w:rsidR="00FB5760" w:rsidRPr="000977CC" w:rsidRDefault="00FB5760" w:rsidP="00FB5760">
      <w:pPr>
        <w:pStyle w:val="Luettelokappale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Julkisten interventioiden vaikutusanalyysi</w:t>
      </w:r>
    </w:p>
    <w:p w14:paraId="317CF420" w14:textId="77777777" w:rsidR="00FB5760" w:rsidRPr="00054CA6" w:rsidRDefault="00FB5760" w:rsidP="00FB5760">
      <w:pPr>
        <w:spacing w:line="240" w:lineRule="auto"/>
      </w:pPr>
    </w:p>
    <w:p w14:paraId="21AE2E0B" w14:textId="77777777" w:rsidR="00FB5760" w:rsidRPr="000977CC" w:rsidRDefault="00FB5760" w:rsidP="00FB5760">
      <w:pPr>
        <w:spacing w:line="240" w:lineRule="auto"/>
        <w:rPr>
          <w:b/>
          <w:bCs/>
        </w:rPr>
      </w:pPr>
      <w:r w:rsidRPr="000977CC">
        <w:rPr>
          <w:b/>
          <w:bCs/>
        </w:rPr>
        <w:lastRenderedPageBreak/>
        <w:t>Kauppatavat</w:t>
      </w:r>
    </w:p>
    <w:p w14:paraId="32291B3D" w14:textId="77777777" w:rsidR="00FB5760" w:rsidRPr="000977CC" w:rsidRDefault="00FB5760" w:rsidP="00FB5760">
      <w:pPr>
        <w:pStyle w:val="Luettelokappale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EU lainsäädäntö tuotekohtaisten markkinaorganisaatioasetusten alla (CMO)</w:t>
      </w:r>
    </w:p>
    <w:p w14:paraId="6E06B252" w14:textId="77777777" w:rsidR="00FB5760" w:rsidRPr="000977CC" w:rsidRDefault="00FB5760" w:rsidP="00FB5760">
      <w:pPr>
        <w:pStyle w:val="Luettelokappale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Epäterveiden kauppatapojen (UTP) torjuntasääntöjen tehokas toimeenpano</w:t>
      </w:r>
    </w:p>
    <w:p w14:paraId="11F3F8B7" w14:textId="77777777" w:rsidR="00FB5760" w:rsidRPr="000977CC" w:rsidRDefault="00FB5760" w:rsidP="00FB5760">
      <w:pPr>
        <w:pStyle w:val="Luettelokappale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Pelkotekijän käyttömahdollisuudet</w:t>
      </w:r>
    </w:p>
    <w:p w14:paraId="579940F2" w14:textId="77777777" w:rsidR="00FB5760" w:rsidRPr="000977CC" w:rsidRDefault="00FB5760" w:rsidP="00FB5760">
      <w:pPr>
        <w:pStyle w:val="Luettelokappale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Sanktiointimahdollisuus</w:t>
      </w:r>
    </w:p>
    <w:p w14:paraId="2D5D7428" w14:textId="77777777" w:rsidR="00FB5760" w:rsidRPr="000977CC" w:rsidRDefault="00FB5760" w:rsidP="00FB5760">
      <w:pPr>
        <w:pStyle w:val="Luettelokappale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Kokemusten ja käytänteiden jakofoorumi</w:t>
      </w:r>
    </w:p>
    <w:p w14:paraId="753E001D" w14:textId="77777777" w:rsidR="00FB5760" w:rsidRPr="000977CC" w:rsidRDefault="00FB5760" w:rsidP="00FB5760">
      <w:pPr>
        <w:pStyle w:val="Luettelokappale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Työkalut ylikansallisten epäterveiden kauppatapojen estämiseen</w:t>
      </w:r>
    </w:p>
    <w:p w14:paraId="669753B7" w14:textId="77777777" w:rsidR="00FB5760" w:rsidRPr="000977CC" w:rsidRDefault="00FB5760" w:rsidP="00FB5760">
      <w:pPr>
        <w:pStyle w:val="Luettelokappale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Vapaaehtoisen UTP-työn jatko (SAI = kestävän maataloustuotannon aloite)</w:t>
      </w:r>
    </w:p>
    <w:p w14:paraId="567384FF" w14:textId="77777777" w:rsidR="00FB5760" w:rsidRDefault="00FB5760" w:rsidP="00FB5760">
      <w:pPr>
        <w:spacing w:line="240" w:lineRule="auto"/>
        <w:rPr>
          <w:b/>
        </w:rPr>
      </w:pPr>
    </w:p>
    <w:p w14:paraId="28C20B98" w14:textId="77777777" w:rsidR="00FB5760" w:rsidRPr="000977CC" w:rsidRDefault="00FB5760" w:rsidP="00FB5760">
      <w:pPr>
        <w:spacing w:line="240" w:lineRule="auto"/>
        <w:rPr>
          <w:b/>
          <w:bCs/>
        </w:rPr>
      </w:pPr>
      <w:r w:rsidRPr="000977CC">
        <w:rPr>
          <w:b/>
          <w:bCs/>
        </w:rPr>
        <w:t>Sopimuksellisuus</w:t>
      </w:r>
    </w:p>
    <w:p w14:paraId="3743A1B5" w14:textId="77777777" w:rsidR="00FB5760" w:rsidRPr="000977CC" w:rsidRDefault="00FB5760" w:rsidP="00FB5760">
      <w:pPr>
        <w:pStyle w:val="Luettelokappale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Osuuskuntien sopimustarve tuottajien tarpeeseen</w:t>
      </w:r>
    </w:p>
    <w:p w14:paraId="389F6E47" w14:textId="77777777" w:rsidR="00FB5760" w:rsidRPr="000977CC" w:rsidRDefault="00FB5760" w:rsidP="00FB5760">
      <w:pPr>
        <w:pStyle w:val="Luettelokappale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 xml:space="preserve">Hyvät käytännöt sopimuksiin; huom. kolmikantasopimukset </w:t>
      </w:r>
    </w:p>
    <w:p w14:paraId="5756653F" w14:textId="77777777" w:rsidR="00FB5760" w:rsidRPr="000977CC" w:rsidRDefault="00FB5760" w:rsidP="00FB5760">
      <w:pPr>
        <w:pStyle w:val="Luettelokappale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Tuottajajärjestöjen ym. rooli mallisopimusten laadinnassa</w:t>
      </w:r>
    </w:p>
    <w:p w14:paraId="2876F85B" w14:textId="77777777" w:rsidR="00FB5760" w:rsidRPr="000977CC" w:rsidRDefault="00FB5760" w:rsidP="00FB5760">
      <w:pPr>
        <w:pStyle w:val="Luettelokappale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Etukäteiset tuloksenjakosopimukset</w:t>
      </w:r>
    </w:p>
    <w:p w14:paraId="7722860F" w14:textId="77777777" w:rsidR="00FB5760" w:rsidRPr="00054CA6" w:rsidRDefault="00FB5760" w:rsidP="00FB5760">
      <w:pPr>
        <w:spacing w:line="240" w:lineRule="auto"/>
      </w:pPr>
    </w:p>
    <w:p w14:paraId="027DE6D6" w14:textId="77777777" w:rsidR="00FB5760" w:rsidRPr="000977CC" w:rsidRDefault="00FB5760" w:rsidP="00FB5760">
      <w:pPr>
        <w:spacing w:line="240" w:lineRule="auto"/>
        <w:rPr>
          <w:b/>
          <w:bCs/>
        </w:rPr>
      </w:pPr>
      <w:r w:rsidRPr="000977CC">
        <w:rPr>
          <w:b/>
          <w:bCs/>
        </w:rPr>
        <w:t>CAP ja kilpailulainsäädäntö</w:t>
      </w:r>
    </w:p>
    <w:p w14:paraId="330D5D1C" w14:textId="77777777" w:rsidR="00FB5760" w:rsidRPr="000977CC" w:rsidRDefault="00FB5760" w:rsidP="00FB5760">
      <w:pPr>
        <w:pStyle w:val="Luettelokappale"/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Viljelijäosuuskuntien roolin selkeyttäminen</w:t>
      </w:r>
    </w:p>
    <w:p w14:paraId="22B9CBF3" w14:textId="77777777" w:rsidR="00FB5760" w:rsidRPr="000977CC" w:rsidRDefault="00FB5760" w:rsidP="00FB5760">
      <w:pPr>
        <w:pStyle w:val="Luettelokappale"/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Maatalouspoikkeuksen selkeyttäminen</w:t>
      </w:r>
    </w:p>
    <w:p w14:paraId="4CD1EC6A" w14:textId="77777777" w:rsidR="00FB5760" w:rsidRPr="000977CC" w:rsidRDefault="00FB5760" w:rsidP="00FB5760">
      <w:pPr>
        <w:pStyle w:val="Luettelokappale"/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 xml:space="preserve">Kilpailulaki ja tuottajaorganisaatiot (erityisesti eläinten hyvinvointi, kestävyys, työolot) </w:t>
      </w:r>
    </w:p>
    <w:p w14:paraId="2C676EC2" w14:textId="77777777" w:rsidR="00FB5760" w:rsidRPr="000977CC" w:rsidRDefault="00FB5760" w:rsidP="00FB5760">
      <w:pPr>
        <w:pStyle w:val="Luettelokappale"/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Raakamaidon yhteismyyntipoikkeus</w:t>
      </w:r>
    </w:p>
    <w:p w14:paraId="1710D08F" w14:textId="77777777" w:rsidR="00FB5760" w:rsidRPr="000977CC" w:rsidRDefault="00FB5760" w:rsidP="00FB5760">
      <w:pPr>
        <w:pStyle w:val="Luettelokappale"/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Sokerikiintiöiden osalta sama</w:t>
      </w:r>
    </w:p>
    <w:p w14:paraId="7B1DCDBF" w14:textId="77777777" w:rsidR="00FB5760" w:rsidRPr="000977CC" w:rsidRDefault="00FB5760" w:rsidP="00FB5760">
      <w:pPr>
        <w:pStyle w:val="Luettelokappale"/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Kriisikartellien mahdollisuus art. 222 (viljelijäyhteistyö)</w:t>
      </w:r>
    </w:p>
    <w:p w14:paraId="416B0362" w14:textId="77777777" w:rsidR="00FB5760" w:rsidRPr="000977CC" w:rsidRDefault="00FB5760" w:rsidP="00FB5760">
      <w:pPr>
        <w:pStyle w:val="Luettelokappale"/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Tuottajaorganisaatioiden ulkopuolisien viljelijöiden velvoitteet</w:t>
      </w:r>
    </w:p>
    <w:p w14:paraId="416DAF20" w14:textId="77777777" w:rsidR="00FB5760" w:rsidRPr="00054CA6" w:rsidRDefault="00FB5760" w:rsidP="00FB5760">
      <w:pPr>
        <w:spacing w:line="240" w:lineRule="auto"/>
        <w:rPr>
          <w:b/>
        </w:rPr>
      </w:pPr>
    </w:p>
    <w:p w14:paraId="27E44760" w14:textId="77777777" w:rsidR="00FB5760" w:rsidRPr="00054CA6" w:rsidRDefault="00FB5760" w:rsidP="00FB5760">
      <w:pPr>
        <w:spacing w:line="240" w:lineRule="auto"/>
      </w:pPr>
      <w:r w:rsidRPr="000977CC">
        <w:rPr>
          <w:b/>
          <w:bCs/>
        </w:rPr>
        <w:t>Pääsy rahoitukseen</w:t>
      </w:r>
    </w:p>
    <w:p w14:paraId="7B93052A" w14:textId="77777777" w:rsidR="00FB5760" w:rsidRPr="000977CC" w:rsidRDefault="00FB5760" w:rsidP="00FB5760">
      <w:pPr>
        <w:pStyle w:val="Luettelokappale"/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Rahoitusinstrumentit tukemaan maatalouspolitiikkaa</w:t>
      </w:r>
    </w:p>
    <w:p w14:paraId="523A0D8C" w14:textId="77777777" w:rsidR="00FB5760" w:rsidRPr="000977CC" w:rsidRDefault="00FB5760" w:rsidP="00FB5760">
      <w:pPr>
        <w:pStyle w:val="Luettelokappale"/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Maatalouspääosaston (AGRI) ja Euroopan investointipankin (EIB) yhteistyö rahoitustyökaluissa</w:t>
      </w:r>
    </w:p>
    <w:p w14:paraId="1826A647" w14:textId="77777777" w:rsidR="00FB5760" w:rsidRPr="000977CC" w:rsidRDefault="00FB5760" w:rsidP="00FB5760">
      <w:pPr>
        <w:pStyle w:val="Luettelokappale"/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EIB-vakuudet paikallispankeille</w:t>
      </w:r>
    </w:p>
    <w:p w14:paraId="1DC5B348" w14:textId="77777777" w:rsidR="00FB5760" w:rsidRPr="000977CC" w:rsidRDefault="00FB5760" w:rsidP="00FB5760">
      <w:pPr>
        <w:pStyle w:val="Luettelokappale"/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  <w:lang w:val="fi-FI"/>
        </w:rPr>
      </w:pPr>
      <w:proofErr w:type="spellStart"/>
      <w:r w:rsidRPr="000977CC">
        <w:rPr>
          <w:rFonts w:asciiTheme="minorHAnsi" w:hAnsiTheme="minorHAnsi" w:cstheme="minorBidi"/>
          <w:sz w:val="22"/>
          <w:szCs w:val="22"/>
          <w:lang w:val="fi-FI"/>
        </w:rPr>
        <w:t>EIB:n</w:t>
      </w:r>
      <w:proofErr w:type="spellEnd"/>
      <w:r w:rsidRPr="000977CC">
        <w:rPr>
          <w:rFonts w:asciiTheme="minorHAnsi" w:hAnsiTheme="minorHAnsi" w:cstheme="minorBidi"/>
          <w:sz w:val="22"/>
          <w:szCs w:val="22"/>
          <w:lang w:val="fi-FI"/>
        </w:rPr>
        <w:t xml:space="preserve"> ja maaseuturahaston yhteistyön kehittäminen</w:t>
      </w:r>
    </w:p>
    <w:p w14:paraId="447BA18E" w14:textId="77777777" w:rsidR="00FB5760" w:rsidRPr="000977CC" w:rsidRDefault="00FB5760" w:rsidP="00FB5760">
      <w:pPr>
        <w:pStyle w:val="Luettelokappale"/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  <w:lang w:val="fi-FI"/>
        </w:rPr>
      </w:pPr>
      <w:r w:rsidRPr="000977CC">
        <w:rPr>
          <w:rFonts w:asciiTheme="minorHAnsi" w:hAnsiTheme="minorHAnsi" w:cstheme="minorBidi"/>
          <w:sz w:val="22"/>
          <w:szCs w:val="22"/>
          <w:lang w:val="fi-FI"/>
        </w:rPr>
        <w:t>Komission hallinnoimat rahoitusinstrumentit</w:t>
      </w:r>
    </w:p>
    <w:p w14:paraId="55F19A9A" w14:textId="77777777" w:rsidR="00FB5760" w:rsidRPr="000977CC" w:rsidRDefault="00FB5760" w:rsidP="00FB5760">
      <w:pPr>
        <w:pStyle w:val="Luettelokappale"/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  <w:lang w:val="fi-FI"/>
        </w:rPr>
      </w:pPr>
      <w:proofErr w:type="spellStart"/>
      <w:r w:rsidRPr="000977CC">
        <w:rPr>
          <w:rFonts w:asciiTheme="minorHAnsi" w:hAnsiTheme="minorHAnsi" w:cstheme="minorBidi"/>
          <w:sz w:val="22"/>
          <w:szCs w:val="22"/>
          <w:lang w:val="fi-FI"/>
        </w:rPr>
        <w:t>EIB:n</w:t>
      </w:r>
      <w:proofErr w:type="spellEnd"/>
      <w:r w:rsidRPr="000977CC">
        <w:rPr>
          <w:rFonts w:asciiTheme="minorHAnsi" w:hAnsiTheme="minorHAnsi" w:cstheme="minorBidi"/>
          <w:sz w:val="22"/>
          <w:szCs w:val="22"/>
          <w:lang w:val="fi-FI"/>
        </w:rPr>
        <w:t xml:space="preserve"> vientiluotot elintarvikeviennille</w:t>
      </w:r>
    </w:p>
    <w:p w14:paraId="30C4F3DE" w14:textId="77777777" w:rsidR="000A6306" w:rsidRPr="00FB5760" w:rsidRDefault="00FB5760" w:rsidP="00FB5760">
      <w:pPr>
        <w:pStyle w:val="NormaaliWWW"/>
        <w:rPr>
          <w:rFonts w:asciiTheme="minorHAnsi" w:eastAsiaTheme="minorEastAsia" w:hAnsiTheme="minorHAnsi" w:cstheme="minorBidi"/>
          <w:sz w:val="22"/>
          <w:szCs w:val="22"/>
        </w:rPr>
      </w:pPr>
      <w:r w:rsidRPr="76CBB41C">
        <w:rPr>
          <w:rFonts w:asciiTheme="minorHAnsi" w:eastAsiaTheme="minorEastAsia" w:hAnsiTheme="minorHAnsi" w:cstheme="minorBidi"/>
          <w:sz w:val="22"/>
          <w:szCs w:val="22"/>
        </w:rPr>
        <w:t xml:space="preserve">Komissaari </w:t>
      </w:r>
      <w:proofErr w:type="spellStart"/>
      <w:r w:rsidRPr="76CBB41C">
        <w:rPr>
          <w:rFonts w:asciiTheme="minorHAnsi" w:eastAsiaTheme="minorEastAsia" w:hAnsiTheme="minorHAnsi" w:cstheme="minorBidi"/>
          <w:sz w:val="22"/>
          <w:szCs w:val="22"/>
        </w:rPr>
        <w:t>Hoganin</w:t>
      </w:r>
      <w:proofErr w:type="spellEnd"/>
      <w:r w:rsidRPr="76CBB41C">
        <w:rPr>
          <w:rFonts w:asciiTheme="minorHAnsi" w:eastAsiaTheme="minorEastAsia" w:hAnsiTheme="minorHAnsi" w:cstheme="minorBidi"/>
          <w:sz w:val="22"/>
          <w:szCs w:val="22"/>
        </w:rPr>
        <w:t xml:space="preserve"> erillistyöryhmän raportti koskien Maataloustuotteiden markkinoita (</w:t>
      </w:r>
      <w:proofErr w:type="spellStart"/>
      <w:r w:rsidRPr="76CBB41C">
        <w:rPr>
          <w:rFonts w:asciiTheme="minorHAnsi" w:eastAsiaTheme="minorEastAsia" w:hAnsiTheme="minorHAnsi" w:cstheme="minorBidi"/>
          <w:sz w:val="22"/>
          <w:szCs w:val="22"/>
        </w:rPr>
        <w:t>Veerman</w:t>
      </w:r>
      <w:proofErr w:type="spellEnd"/>
      <w:r w:rsidRPr="76CBB41C">
        <w:rPr>
          <w:rFonts w:asciiTheme="minorHAnsi" w:eastAsiaTheme="minorEastAsia" w:hAnsiTheme="minorHAnsi" w:cstheme="minorBidi"/>
          <w:sz w:val="22"/>
          <w:szCs w:val="22"/>
        </w:rPr>
        <w:t xml:space="preserve"> raportti) </w:t>
      </w:r>
      <w:hyperlink r:id="rId5" w:history="1">
        <w:r w:rsidRPr="76CBB41C">
          <w:rPr>
            <w:rStyle w:val="Hyperlinkki"/>
            <w:rFonts w:asciiTheme="minorHAnsi" w:eastAsiaTheme="minorEastAsia" w:hAnsiTheme="minorHAnsi" w:cstheme="minorBidi"/>
            <w:sz w:val="22"/>
            <w:szCs w:val="22"/>
          </w:rPr>
          <w:t>https://ec.europa.eu/agriculture/agri-markets-task-force_en</w:t>
        </w:r>
      </w:hyperlink>
      <w:r w:rsidRPr="76CBB4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sectPr w:rsidR="000A6306" w:rsidRPr="00FB57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D7F"/>
    <w:multiLevelType w:val="hybridMultilevel"/>
    <w:tmpl w:val="F790E6FA"/>
    <w:lvl w:ilvl="0" w:tplc="E8EC26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7A10"/>
    <w:multiLevelType w:val="hybridMultilevel"/>
    <w:tmpl w:val="F0661A42"/>
    <w:lvl w:ilvl="0" w:tplc="E8EC26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6C6B"/>
    <w:multiLevelType w:val="hybridMultilevel"/>
    <w:tmpl w:val="28940F50"/>
    <w:lvl w:ilvl="0" w:tplc="E8EC26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F3E3F"/>
    <w:multiLevelType w:val="hybridMultilevel"/>
    <w:tmpl w:val="742A0794"/>
    <w:lvl w:ilvl="0" w:tplc="E8EC26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578BD"/>
    <w:multiLevelType w:val="hybridMultilevel"/>
    <w:tmpl w:val="5A7C98E0"/>
    <w:lvl w:ilvl="0" w:tplc="E8EC26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522E"/>
    <w:multiLevelType w:val="hybridMultilevel"/>
    <w:tmpl w:val="07AA7FFE"/>
    <w:lvl w:ilvl="0" w:tplc="E8EC26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61692"/>
    <w:multiLevelType w:val="hybridMultilevel"/>
    <w:tmpl w:val="27BE2066"/>
    <w:lvl w:ilvl="0" w:tplc="E8EC26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B6C04"/>
    <w:multiLevelType w:val="hybridMultilevel"/>
    <w:tmpl w:val="502AB60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E258E"/>
    <w:multiLevelType w:val="hybridMultilevel"/>
    <w:tmpl w:val="E408BE36"/>
    <w:lvl w:ilvl="0" w:tplc="E8EC26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50"/>
    <w:rsid w:val="00031005"/>
    <w:rsid w:val="00054CA6"/>
    <w:rsid w:val="000A6306"/>
    <w:rsid w:val="0012171B"/>
    <w:rsid w:val="00153B3B"/>
    <w:rsid w:val="00190F02"/>
    <w:rsid w:val="001C6875"/>
    <w:rsid w:val="00221134"/>
    <w:rsid w:val="00273061"/>
    <w:rsid w:val="002816E9"/>
    <w:rsid w:val="005230D2"/>
    <w:rsid w:val="0056415D"/>
    <w:rsid w:val="005D7896"/>
    <w:rsid w:val="005F3B6F"/>
    <w:rsid w:val="00684BC0"/>
    <w:rsid w:val="006F5750"/>
    <w:rsid w:val="007E0D29"/>
    <w:rsid w:val="00860FD9"/>
    <w:rsid w:val="00861098"/>
    <w:rsid w:val="009D38B0"/>
    <w:rsid w:val="00A42E28"/>
    <w:rsid w:val="00A67921"/>
    <w:rsid w:val="00A77611"/>
    <w:rsid w:val="00B21F14"/>
    <w:rsid w:val="00B56A75"/>
    <w:rsid w:val="00C147A4"/>
    <w:rsid w:val="00C54A2E"/>
    <w:rsid w:val="00DF7AFB"/>
    <w:rsid w:val="00EA2354"/>
    <w:rsid w:val="00F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583C"/>
  <w15:chartTrackingRefBased/>
  <w15:docId w15:val="{A2C33CDC-2FCF-49ED-B8A4-C0C4009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6F575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40" w:lineRule="atLeast"/>
      <w:jc w:val="both"/>
    </w:pPr>
    <w:rPr>
      <w:rFonts w:eastAsia="Times New Roman" w:cs="Times New Roman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F5750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F5750"/>
    <w:rPr>
      <w:rFonts w:eastAsiaTheme="majorEastAsia" w:cstheme="majorBidi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6F5750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line="240" w:lineRule="auto"/>
      <w:ind w:left="720"/>
      <w:contextualSpacing/>
    </w:pPr>
    <w:rPr>
      <w:rFonts w:ascii="Times New Roman" w:eastAsiaTheme="minorEastAsia" w:hAnsi="Times New Roman"/>
      <w:sz w:val="24"/>
      <w:lang w:val="en-US"/>
    </w:rPr>
  </w:style>
  <w:style w:type="paragraph" w:styleId="NormaaliWWW">
    <w:name w:val="Normal (Web)"/>
    <w:basedOn w:val="Normaali"/>
    <w:uiPriority w:val="99"/>
    <w:unhideWhenUsed/>
    <w:rsid w:val="00A42E2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FB5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agriculture/agri-markets-task-force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Ruippo Juha</dc:creator>
  <cp:keywords/>
  <dc:description/>
  <cp:lastModifiedBy>Ruippo Juha</cp:lastModifiedBy>
  <cp:revision>2</cp:revision>
  <dcterms:created xsi:type="dcterms:W3CDTF">2017-01-04T09:14:00Z</dcterms:created>
  <dcterms:modified xsi:type="dcterms:W3CDTF">2017-01-04T09:14:00Z</dcterms:modified>
</cp:coreProperties>
</file>